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sidR="007818FE">
        <w:rPr>
          <w:b/>
          <w:sz w:val="24"/>
          <w:szCs w:val="24"/>
        </w:rPr>
        <w:t>-e</w:t>
      </w:r>
      <w:bookmarkStart w:id="2" w:name="_GoBack"/>
      <w:bookmarkEnd w:id="2"/>
      <w:r w:rsidR="00A24B95" w:rsidRPr="006E473F">
        <w:rPr>
          <w:rFonts w:hint="eastAsia"/>
          <w:b/>
          <w:sz w:val="24"/>
          <w:szCs w:val="24"/>
          <w:lang w:eastAsia="ko-KR"/>
        </w:rPr>
        <w:tab/>
      </w:r>
      <w:r w:rsidR="00C91DD1" w:rsidRPr="00C91DD1">
        <w:rPr>
          <w:b/>
          <w:sz w:val="24"/>
          <w:szCs w:val="24"/>
          <w:lang w:eastAsia="ko-KR"/>
        </w:rPr>
        <w:t>R1-2000640</w:t>
      </w:r>
    </w:p>
    <w:bookmarkEnd w:id="0"/>
    <w:p w:rsidR="007A57E2" w:rsidRPr="001F2CD1" w:rsidRDefault="00D94F4C" w:rsidP="00A24B95">
      <w:pPr>
        <w:pStyle w:val="Header"/>
        <w:spacing w:after="240"/>
        <w:rPr>
          <w:rFonts w:eastAsia="Malgun Gothic"/>
          <w:noProof w:val="0"/>
          <w:color w:val="000000"/>
          <w:sz w:val="24"/>
          <w:szCs w:val="24"/>
          <w:lang w:val="en-US" w:eastAsia="ko-KR"/>
        </w:rPr>
      </w:pPr>
      <w:r w:rsidRPr="00D94F4C">
        <w:rPr>
          <w:rFonts w:cs="Arial"/>
          <w:bCs/>
          <w:sz w:val="24"/>
          <w:szCs w:val="24"/>
          <w:lang w:eastAsia="ja-JP"/>
        </w:rPr>
        <w:t>Athens, Greece, February 24</w:t>
      </w:r>
      <w:r w:rsidRPr="00D94F4C">
        <w:rPr>
          <w:rFonts w:cs="Arial"/>
          <w:bCs/>
          <w:sz w:val="24"/>
          <w:szCs w:val="24"/>
          <w:vertAlign w:val="superscript"/>
          <w:lang w:eastAsia="ja-JP"/>
        </w:rPr>
        <w:t>th</w:t>
      </w:r>
      <w:r w:rsidRPr="00D94F4C">
        <w:rPr>
          <w:rFonts w:cs="Arial"/>
          <w:bCs/>
          <w:sz w:val="24"/>
          <w:szCs w:val="24"/>
          <w:lang w:eastAsia="ja-JP"/>
        </w:rPr>
        <w:t xml:space="preserve"> – 28</w:t>
      </w:r>
      <w:r w:rsidRPr="00D94F4C">
        <w:rPr>
          <w:rFonts w:cs="Arial"/>
          <w:bCs/>
          <w:sz w:val="24"/>
          <w:szCs w:val="24"/>
          <w:vertAlign w:val="superscript"/>
          <w:lang w:eastAsia="ja-JP"/>
        </w:rPr>
        <w:t>th</w:t>
      </w:r>
      <w:r w:rsidRPr="00D94F4C">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w:t>
      </w:r>
      <w:r w:rsidR="00BF44B6">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44B6">
        <w:rPr>
          <w:rFonts w:ascii="Arial" w:eastAsia="Malgun Gothic" w:hAnsi="Arial"/>
          <w:color w:val="000000"/>
          <w:sz w:val="24"/>
        </w:rPr>
        <w:t>U</w:t>
      </w:r>
      <w:r w:rsidR="009A2DD7">
        <w:rPr>
          <w:rFonts w:ascii="Arial" w:eastAsia="Malgun Gothic" w:hAnsi="Arial"/>
          <w:color w:val="000000"/>
          <w:sz w:val="24"/>
        </w:rPr>
        <w:t>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RAN1#99 [1].</w:t>
      </w:r>
    </w:p>
    <w:p w:rsidR="00BF44B6" w:rsidRDefault="00BF44B6" w:rsidP="00BF44B6">
      <w:pPr>
        <w:rPr>
          <w:lang w:eastAsia="x-none"/>
        </w:rPr>
      </w:pPr>
      <w:r w:rsidRPr="005B09B0">
        <w:rPr>
          <w:highlight w:val="green"/>
          <w:lang w:eastAsia="x-none"/>
        </w:rPr>
        <w:t>Agreement:</w:t>
      </w:r>
    </w:p>
    <w:p w:rsidR="00BF44B6" w:rsidRDefault="00BF44B6" w:rsidP="00BF44B6">
      <w:r>
        <w:t>The Rel-15 aperiodic SRS framework is supported for SRS for positioning.  Transmission of aperiodic SRS for positioning is a UE capability. There is no impact on DCI design.</w:t>
      </w:r>
    </w:p>
    <w:p w:rsidR="00BF44B6" w:rsidRDefault="00BF44B6" w:rsidP="00BF44B6">
      <w:pPr>
        <w:rPr>
          <w:lang w:eastAsia="x-none"/>
        </w:rPr>
      </w:pPr>
    </w:p>
    <w:p w:rsidR="00BF44B6" w:rsidRDefault="00BF44B6" w:rsidP="00BF44B6">
      <w:pPr>
        <w:rPr>
          <w:lang w:eastAsia="x-none"/>
        </w:rPr>
      </w:pPr>
      <w:r w:rsidRPr="002778BA">
        <w:rPr>
          <w:highlight w:val="green"/>
          <w:lang w:eastAsia="x-none"/>
        </w:rPr>
        <w:t>Agreement:</w:t>
      </w:r>
    </w:p>
    <w:p w:rsidR="00BF44B6" w:rsidRDefault="00BF44B6" w:rsidP="00BF44B6">
      <w:pPr>
        <w:rPr>
          <w:lang w:eastAsia="x-none"/>
        </w:rPr>
      </w:pPr>
      <w:r>
        <w:rPr>
          <w:lang w:eastAsia="x-none"/>
        </w:rPr>
        <w:t>For each pair of comb size and number of symbols of SRS, there is one single RE pattern. The patterns in the table below are selected</w:t>
      </w:r>
    </w:p>
    <w:tbl>
      <w:tblPr>
        <w:tblpPr w:leftFromText="180" w:rightFromText="180" w:vertAnchor="text" w:horzAnchor="margin" w:tblpXSpec="center" w:tblpY="216"/>
        <w:tblOverlap w:val="never"/>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4"/>
        <w:gridCol w:w="816"/>
        <w:gridCol w:w="1408"/>
        <w:gridCol w:w="1921"/>
        <w:gridCol w:w="2110"/>
      </w:tblGrid>
      <w:tr w:rsidR="00BF44B6" w:rsidRPr="00520551" w:rsidTr="00363300">
        <w:trPr>
          <w:trHeight w:val="20"/>
        </w:trPr>
        <w:tc>
          <w:tcPr>
            <w:tcW w:w="2122" w:type="dxa"/>
            <w:tcBorders>
              <w:top w:val="single" w:sz="4" w:space="0" w:color="auto"/>
              <w:left w:val="single" w:sz="4" w:space="0" w:color="auto"/>
              <w:bottom w:val="single" w:sz="4" w:space="0" w:color="auto"/>
              <w:right w:val="single" w:sz="4" w:space="0" w:color="auto"/>
            </w:tcBorders>
            <w:hideMark/>
          </w:tcPr>
          <w:p w:rsidR="00BF44B6" w:rsidRPr="00520551" w:rsidRDefault="00BF44B6" w:rsidP="00363300">
            <w:pPr>
              <w:rPr>
                <w:b/>
                <w:lang w:eastAsia="x-none"/>
              </w:rPr>
            </w:pPr>
            <w:r w:rsidRPr="00520551">
              <w:rPr>
                <w:b/>
                <w:lang w:eastAsia="x-none"/>
              </w:rPr>
              <w:t>Number of symbols /</w:t>
            </w:r>
          </w:p>
          <w:p w:rsidR="00BF44B6" w:rsidRPr="00520551" w:rsidRDefault="00BF44B6" w:rsidP="00363300">
            <w:pPr>
              <w:rPr>
                <w:lang w:eastAsia="x-none"/>
              </w:rPr>
            </w:pPr>
            <w:r w:rsidRPr="00520551">
              <w:rPr>
                <w:b/>
                <w:lang w:eastAsia="x-none"/>
              </w:rPr>
              <w:t>Comb size</w:t>
            </w:r>
            <w:r w:rsidRPr="00520551">
              <w:rPr>
                <w:lang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rsidR="00BF44B6" w:rsidRPr="00520551" w:rsidRDefault="00BF44B6" w:rsidP="00363300">
            <w:pPr>
              <w:rPr>
                <w:b/>
                <w:lang w:eastAsia="x-none"/>
              </w:rPr>
            </w:pPr>
            <w:r w:rsidRPr="00520551">
              <w:rPr>
                <w:b/>
                <w:lang w:eastAsia="x-none"/>
              </w:rPr>
              <w:t>1</w:t>
            </w:r>
          </w:p>
        </w:tc>
        <w:tc>
          <w:tcPr>
            <w:tcW w:w="816" w:type="dxa"/>
            <w:tcBorders>
              <w:top w:val="single" w:sz="4" w:space="0" w:color="auto"/>
              <w:left w:val="single" w:sz="4" w:space="0" w:color="auto"/>
              <w:bottom w:val="single" w:sz="4" w:space="0" w:color="auto"/>
              <w:right w:val="single" w:sz="4" w:space="0" w:color="auto"/>
            </w:tcBorders>
            <w:hideMark/>
          </w:tcPr>
          <w:p w:rsidR="00BF44B6" w:rsidRPr="00520551" w:rsidRDefault="00BF44B6" w:rsidP="00363300">
            <w:pPr>
              <w:rPr>
                <w:b/>
                <w:lang w:eastAsia="x-none"/>
              </w:rPr>
            </w:pPr>
            <w:r w:rsidRPr="00520551">
              <w:rPr>
                <w:b/>
                <w:lang w:eastAsia="x-none"/>
              </w:rPr>
              <w:t>2</w:t>
            </w:r>
          </w:p>
        </w:tc>
        <w:tc>
          <w:tcPr>
            <w:tcW w:w="1408" w:type="dxa"/>
            <w:tcBorders>
              <w:top w:val="single" w:sz="4" w:space="0" w:color="auto"/>
              <w:left w:val="single" w:sz="4" w:space="0" w:color="auto"/>
              <w:bottom w:val="single" w:sz="4" w:space="0" w:color="auto"/>
              <w:right w:val="single" w:sz="4" w:space="0" w:color="auto"/>
            </w:tcBorders>
            <w:hideMark/>
          </w:tcPr>
          <w:p w:rsidR="00BF44B6" w:rsidRPr="00520551" w:rsidRDefault="00BF44B6" w:rsidP="00363300">
            <w:pPr>
              <w:rPr>
                <w:b/>
                <w:lang w:eastAsia="x-none"/>
              </w:rPr>
            </w:pPr>
            <w:r w:rsidRPr="00520551">
              <w:rPr>
                <w:b/>
                <w:lang w:eastAsia="x-none"/>
              </w:rPr>
              <w:t>4</w:t>
            </w:r>
          </w:p>
        </w:tc>
        <w:tc>
          <w:tcPr>
            <w:tcW w:w="1921" w:type="dxa"/>
            <w:tcBorders>
              <w:top w:val="single" w:sz="4" w:space="0" w:color="auto"/>
              <w:left w:val="single" w:sz="4" w:space="0" w:color="auto"/>
              <w:bottom w:val="single" w:sz="4" w:space="0" w:color="auto"/>
              <w:right w:val="single" w:sz="4" w:space="0" w:color="auto"/>
            </w:tcBorders>
            <w:hideMark/>
          </w:tcPr>
          <w:p w:rsidR="00BF44B6" w:rsidRPr="00520551" w:rsidRDefault="00BF44B6" w:rsidP="00363300">
            <w:pPr>
              <w:rPr>
                <w:b/>
                <w:lang w:eastAsia="x-none"/>
              </w:rPr>
            </w:pPr>
            <w:r w:rsidRPr="00520551">
              <w:rPr>
                <w:b/>
                <w:lang w:eastAsia="x-none"/>
              </w:rPr>
              <w:t>8</w:t>
            </w:r>
          </w:p>
        </w:tc>
        <w:tc>
          <w:tcPr>
            <w:tcW w:w="2110" w:type="dxa"/>
            <w:tcBorders>
              <w:top w:val="single" w:sz="4" w:space="0" w:color="auto"/>
              <w:left w:val="single" w:sz="4" w:space="0" w:color="auto"/>
              <w:bottom w:val="single" w:sz="4" w:space="0" w:color="auto"/>
              <w:right w:val="single" w:sz="4" w:space="0" w:color="auto"/>
            </w:tcBorders>
            <w:hideMark/>
          </w:tcPr>
          <w:p w:rsidR="00BF44B6" w:rsidRPr="00520551" w:rsidRDefault="00BF44B6" w:rsidP="00363300">
            <w:pPr>
              <w:rPr>
                <w:b/>
                <w:lang w:eastAsia="x-none"/>
              </w:rPr>
            </w:pPr>
            <w:r w:rsidRPr="00520551">
              <w:rPr>
                <w:b/>
                <w:lang w:eastAsia="x-none"/>
              </w:rPr>
              <w:t>12</w:t>
            </w:r>
          </w:p>
        </w:tc>
      </w:tr>
      <w:tr w:rsidR="00BF44B6" w:rsidRPr="00520551" w:rsidTr="00363300">
        <w:trPr>
          <w:trHeight w:val="20"/>
        </w:trPr>
        <w:tc>
          <w:tcPr>
            <w:tcW w:w="2122"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b/>
                <w:lang w:eastAsia="x-none"/>
              </w:rPr>
            </w:pPr>
            <w:r w:rsidRPr="0022294D">
              <w:rPr>
                <w:b/>
                <w:lang w:eastAsia="x-none"/>
              </w:rPr>
              <w:t>2</w:t>
            </w:r>
          </w:p>
        </w:tc>
        <w:tc>
          <w:tcPr>
            <w:tcW w:w="494" w:type="dxa"/>
            <w:tcBorders>
              <w:top w:val="single" w:sz="4" w:space="0" w:color="auto"/>
              <w:left w:val="single" w:sz="4" w:space="0" w:color="auto"/>
              <w:bottom w:val="single" w:sz="4" w:space="0" w:color="auto"/>
              <w:right w:val="single" w:sz="4" w:space="0" w:color="auto"/>
            </w:tcBorders>
          </w:tcPr>
          <w:p w:rsidR="00BF44B6" w:rsidRPr="0022294D" w:rsidRDefault="00BF44B6" w:rsidP="00363300">
            <w:pPr>
              <w:rPr>
                <w:sz w:val="16"/>
                <w:szCs w:val="16"/>
                <w:lang w:eastAsia="x-none"/>
              </w:rPr>
            </w:pPr>
            <w:r w:rsidRPr="0022294D">
              <w:rPr>
                <w:sz w:val="16"/>
                <w:szCs w:val="16"/>
                <w:lang w:eastAsia="x-none"/>
              </w:rPr>
              <w:t>{0}</w:t>
            </w:r>
          </w:p>
        </w:tc>
        <w:tc>
          <w:tcPr>
            <w:tcW w:w="816"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{0, 1}</w:t>
            </w:r>
          </w:p>
        </w:tc>
        <w:tc>
          <w:tcPr>
            <w:tcW w:w="1408"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 xml:space="preserve">{0, 1, 0, 1} </w:t>
            </w:r>
          </w:p>
        </w:tc>
        <w:tc>
          <w:tcPr>
            <w:tcW w:w="1921"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N/A</w:t>
            </w:r>
          </w:p>
        </w:tc>
      </w:tr>
      <w:tr w:rsidR="00BF44B6" w:rsidRPr="00520551" w:rsidTr="00363300">
        <w:trPr>
          <w:trHeight w:val="20"/>
        </w:trPr>
        <w:tc>
          <w:tcPr>
            <w:tcW w:w="2122"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b/>
                <w:lang w:eastAsia="x-none"/>
              </w:rPr>
            </w:pPr>
            <w:r w:rsidRPr="0022294D">
              <w:rPr>
                <w:b/>
                <w:lang w:eastAsia="x-none"/>
              </w:rPr>
              <w:t>4</w:t>
            </w:r>
          </w:p>
        </w:tc>
        <w:tc>
          <w:tcPr>
            <w:tcW w:w="494"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N/A</w:t>
            </w:r>
          </w:p>
        </w:tc>
        <w:tc>
          <w:tcPr>
            <w:tcW w:w="816"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{0, 2}</w:t>
            </w:r>
          </w:p>
        </w:tc>
        <w:tc>
          <w:tcPr>
            <w:tcW w:w="1408"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 xml:space="preserve">{0,2,1,3}, </w:t>
            </w:r>
          </w:p>
        </w:tc>
        <w:tc>
          <w:tcPr>
            <w:tcW w:w="1921"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 xml:space="preserve">{0,2,1,3, 0,2,1,3} </w:t>
            </w:r>
          </w:p>
          <w:p w:rsidR="00BF44B6" w:rsidRPr="0022294D" w:rsidRDefault="00BF44B6" w:rsidP="00363300">
            <w:pPr>
              <w:rPr>
                <w:sz w:val="16"/>
                <w:szCs w:val="16"/>
                <w:lang w:eastAsia="x-none"/>
              </w:rPr>
            </w:pPr>
          </w:p>
        </w:tc>
        <w:tc>
          <w:tcPr>
            <w:tcW w:w="2110"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{0,2,1,3, 0,2,1,3, 0,2,1,3}</w:t>
            </w:r>
          </w:p>
          <w:p w:rsidR="00BF44B6" w:rsidRPr="0022294D" w:rsidRDefault="00BF44B6" w:rsidP="00363300">
            <w:pPr>
              <w:rPr>
                <w:sz w:val="16"/>
                <w:szCs w:val="16"/>
                <w:lang w:eastAsia="x-none"/>
              </w:rPr>
            </w:pPr>
          </w:p>
        </w:tc>
      </w:tr>
      <w:tr w:rsidR="00BF44B6" w:rsidRPr="00520551" w:rsidTr="00363300">
        <w:trPr>
          <w:trHeight w:val="20"/>
        </w:trPr>
        <w:tc>
          <w:tcPr>
            <w:tcW w:w="2122" w:type="dxa"/>
            <w:tcBorders>
              <w:top w:val="single" w:sz="4" w:space="0" w:color="auto"/>
              <w:left w:val="single" w:sz="4" w:space="0" w:color="auto"/>
              <w:bottom w:val="single" w:sz="4" w:space="0" w:color="auto"/>
              <w:right w:val="single" w:sz="4" w:space="0" w:color="auto"/>
            </w:tcBorders>
            <w:hideMark/>
          </w:tcPr>
          <w:p w:rsidR="00BF44B6" w:rsidRPr="00520551" w:rsidRDefault="00BF44B6" w:rsidP="00363300">
            <w:pPr>
              <w:rPr>
                <w:b/>
                <w:lang w:eastAsia="x-none"/>
              </w:rPr>
            </w:pPr>
            <w:r w:rsidRPr="00520551">
              <w:rPr>
                <w:b/>
                <w:lang w:eastAsia="x-none"/>
              </w:rPr>
              <w:t>8</w:t>
            </w:r>
          </w:p>
        </w:tc>
        <w:tc>
          <w:tcPr>
            <w:tcW w:w="494" w:type="dxa"/>
            <w:tcBorders>
              <w:top w:val="single" w:sz="4" w:space="0" w:color="auto"/>
              <w:left w:val="single" w:sz="4" w:space="0" w:color="auto"/>
              <w:bottom w:val="single" w:sz="4" w:space="0" w:color="auto"/>
              <w:right w:val="single" w:sz="4" w:space="0" w:color="auto"/>
            </w:tcBorders>
            <w:hideMark/>
          </w:tcPr>
          <w:p w:rsidR="00BF44B6" w:rsidRPr="00520551" w:rsidRDefault="00BF44B6" w:rsidP="00363300">
            <w:pPr>
              <w:rPr>
                <w:sz w:val="16"/>
                <w:szCs w:val="16"/>
                <w:lang w:eastAsia="x-none"/>
              </w:rPr>
            </w:pPr>
            <w:r w:rsidRPr="00520551">
              <w:rPr>
                <w:sz w:val="16"/>
                <w:szCs w:val="16"/>
                <w:lang w:eastAsia="x-none"/>
              </w:rPr>
              <w:t>N/A</w:t>
            </w:r>
          </w:p>
        </w:tc>
        <w:tc>
          <w:tcPr>
            <w:tcW w:w="816"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N/A</w:t>
            </w:r>
          </w:p>
        </w:tc>
        <w:tc>
          <w:tcPr>
            <w:tcW w:w="1408" w:type="dxa"/>
            <w:tcBorders>
              <w:top w:val="single" w:sz="4" w:space="0" w:color="auto"/>
              <w:left w:val="single" w:sz="4" w:space="0" w:color="auto"/>
              <w:bottom w:val="single" w:sz="4" w:space="0" w:color="auto"/>
              <w:right w:val="single" w:sz="4" w:space="0" w:color="auto"/>
            </w:tcBorders>
            <w:hideMark/>
          </w:tcPr>
          <w:p w:rsidR="00BF44B6" w:rsidRPr="0022294D" w:rsidRDefault="00BF44B6" w:rsidP="00363300">
            <w:pPr>
              <w:rPr>
                <w:sz w:val="16"/>
                <w:szCs w:val="16"/>
                <w:lang w:eastAsia="x-none"/>
              </w:rPr>
            </w:pPr>
            <w:r w:rsidRPr="0022294D">
              <w:rPr>
                <w:sz w:val="16"/>
                <w:szCs w:val="16"/>
                <w:lang w:eastAsia="x-none"/>
              </w:rPr>
              <w:t>{0,4,2,6}</w:t>
            </w:r>
          </w:p>
        </w:tc>
        <w:tc>
          <w:tcPr>
            <w:tcW w:w="1921" w:type="dxa"/>
            <w:tcBorders>
              <w:top w:val="single" w:sz="4" w:space="0" w:color="auto"/>
              <w:left w:val="single" w:sz="4" w:space="0" w:color="auto"/>
              <w:bottom w:val="single" w:sz="4" w:space="0" w:color="auto"/>
              <w:right w:val="single" w:sz="4" w:space="0" w:color="auto"/>
            </w:tcBorders>
          </w:tcPr>
          <w:p w:rsidR="00BF44B6" w:rsidRPr="0022294D" w:rsidRDefault="00BF44B6" w:rsidP="00363300">
            <w:pPr>
              <w:rPr>
                <w:sz w:val="16"/>
                <w:szCs w:val="16"/>
                <w:lang w:eastAsia="x-none"/>
              </w:rPr>
            </w:pPr>
            <w:r w:rsidRPr="0022294D">
              <w:rPr>
                <w:sz w:val="16"/>
                <w:szCs w:val="16"/>
                <w:lang w:eastAsia="x-none"/>
              </w:rPr>
              <w:t xml:space="preserve">{0,4,2,6,1,5,3,7}  </w:t>
            </w:r>
          </w:p>
        </w:tc>
        <w:tc>
          <w:tcPr>
            <w:tcW w:w="2110" w:type="dxa"/>
            <w:tcBorders>
              <w:top w:val="single" w:sz="4" w:space="0" w:color="auto"/>
              <w:left w:val="single" w:sz="4" w:space="0" w:color="auto"/>
              <w:bottom w:val="single" w:sz="4" w:space="0" w:color="auto"/>
              <w:right w:val="single" w:sz="4" w:space="0" w:color="auto"/>
            </w:tcBorders>
            <w:hideMark/>
          </w:tcPr>
          <w:p w:rsidR="00BF44B6" w:rsidRPr="002778BA" w:rsidRDefault="00BF44B6" w:rsidP="00363300">
            <w:pPr>
              <w:rPr>
                <w:sz w:val="16"/>
                <w:szCs w:val="16"/>
                <w:lang w:eastAsia="x-none"/>
              </w:rPr>
            </w:pPr>
            <w:r w:rsidRPr="002778BA">
              <w:rPr>
                <w:sz w:val="16"/>
                <w:szCs w:val="16"/>
                <w:lang w:eastAsia="x-none"/>
              </w:rPr>
              <w:t>{0,4,2,6,1,5,3,7,0,4,2,6}</w:t>
            </w:r>
          </w:p>
        </w:tc>
      </w:tr>
    </w:tbl>
    <w:p w:rsidR="00BF44B6" w:rsidRDefault="00BF44B6" w:rsidP="00BF44B6">
      <w:pPr>
        <w:rPr>
          <w:lang w:eastAsia="x-none"/>
        </w:rPr>
      </w:pPr>
    </w:p>
    <w:p w:rsidR="00BF44B6" w:rsidRDefault="00BF44B6" w:rsidP="00BF44B6">
      <w:pPr>
        <w:rPr>
          <w:highlight w:val="green"/>
          <w:lang w:eastAsia="x-none"/>
        </w:rPr>
      </w:pPr>
    </w:p>
    <w:p w:rsidR="00BF44B6" w:rsidRDefault="00BF44B6" w:rsidP="00BF44B6">
      <w:pPr>
        <w:rPr>
          <w:lang w:eastAsia="x-none"/>
        </w:rPr>
      </w:pPr>
      <w:r w:rsidRPr="00971D17">
        <w:rPr>
          <w:highlight w:val="green"/>
          <w:lang w:eastAsia="x-none"/>
        </w:rPr>
        <w:t>Agreement:</w:t>
      </w:r>
    </w:p>
    <w:p w:rsidR="00BF44B6" w:rsidRDefault="00BF44B6" w:rsidP="00BF44B6">
      <w:pPr>
        <w:rPr>
          <w:lang w:eastAsia="x-none"/>
        </w:rPr>
      </w:pPr>
      <w:r w:rsidRPr="00971D17">
        <w:rPr>
          <w:lang w:eastAsia="x-none"/>
        </w:rPr>
        <w:t>Reuse release 15 sequence initialization</w:t>
      </w:r>
      <w:r>
        <w:rPr>
          <w:lang w:eastAsia="x-none"/>
        </w:rPr>
        <w:t xml:space="preserve"> for the UL SRS for positioning</w:t>
      </w:r>
      <w:r w:rsidRPr="00971D17">
        <w:rPr>
          <w:lang w:eastAsia="x-none"/>
        </w:rPr>
        <w:t>. The number of bits for the RRC parameter sequence</w:t>
      </w:r>
      <w:r>
        <w:rPr>
          <w:lang w:eastAsia="x-none"/>
        </w:rPr>
        <w:t xml:space="preserve"> </w:t>
      </w:r>
      <w:r w:rsidRPr="00971D17">
        <w:rPr>
          <w:lang w:eastAsia="x-none"/>
        </w:rPr>
        <w:t>ID is increased to 16</w:t>
      </w:r>
      <w:r>
        <w:rPr>
          <w:lang w:eastAsia="x-none"/>
        </w:rPr>
        <w:t>.</w:t>
      </w:r>
    </w:p>
    <w:p w:rsidR="00BF44B6" w:rsidRDefault="00BF44B6" w:rsidP="00BF44B6">
      <w:pPr>
        <w:rPr>
          <w:lang w:eastAsia="x-none"/>
        </w:rPr>
      </w:pPr>
    </w:p>
    <w:p w:rsidR="00BF44B6" w:rsidRPr="00B05F89" w:rsidRDefault="00BF44B6" w:rsidP="00BF44B6">
      <w:pPr>
        <w:rPr>
          <w:lang w:eastAsia="x-none"/>
        </w:rPr>
      </w:pPr>
      <w:r w:rsidRPr="00B05F89">
        <w:rPr>
          <w:highlight w:val="green"/>
          <w:lang w:eastAsia="x-none"/>
        </w:rPr>
        <w:t>Agreement:</w:t>
      </w:r>
    </w:p>
    <w:p w:rsidR="00BF44B6" w:rsidRDefault="00BF44B6" w:rsidP="00BF44B6">
      <w:pPr>
        <w:rPr>
          <w:lang w:eastAsia="x-none"/>
        </w:rPr>
      </w:pPr>
      <w:r>
        <w:rPr>
          <w:lang w:eastAsia="x-none"/>
        </w:rPr>
        <w:t>F</w:t>
      </w:r>
      <w:r w:rsidRPr="00971D17">
        <w:rPr>
          <w:lang w:eastAsia="x-none"/>
        </w:rPr>
        <w:t>requency hopping of SRS for positioning</w:t>
      </w:r>
      <w:r>
        <w:rPr>
          <w:lang w:eastAsia="x-none"/>
        </w:rPr>
        <w:t xml:space="preserve"> is not supported</w:t>
      </w:r>
      <w:r w:rsidRPr="00971D17">
        <w:rPr>
          <w:lang w:eastAsia="x-none"/>
        </w:rPr>
        <w:t xml:space="preserve"> in Rel</w:t>
      </w:r>
      <w:r>
        <w:rPr>
          <w:lang w:eastAsia="x-none"/>
        </w:rPr>
        <w:t>-</w:t>
      </w:r>
      <w:r w:rsidRPr="00971D17">
        <w:rPr>
          <w:lang w:eastAsia="x-none"/>
        </w:rPr>
        <w:t>16</w:t>
      </w:r>
    </w:p>
    <w:p w:rsidR="00BF44B6" w:rsidRDefault="00BF44B6" w:rsidP="00BF44B6">
      <w:pPr>
        <w:rPr>
          <w:lang w:eastAsia="x-none"/>
        </w:rPr>
      </w:pPr>
    </w:p>
    <w:p w:rsidR="00BF44B6" w:rsidRDefault="00BF44B6" w:rsidP="00BF44B6">
      <w:pPr>
        <w:rPr>
          <w:lang w:eastAsia="x-none"/>
        </w:rPr>
      </w:pPr>
      <w:r w:rsidRPr="00C40B1B">
        <w:rPr>
          <w:highlight w:val="green"/>
          <w:lang w:eastAsia="x-none"/>
        </w:rPr>
        <w:t>Agreement:</w:t>
      </w:r>
    </w:p>
    <w:p w:rsidR="00BF44B6" w:rsidRDefault="00BF44B6" w:rsidP="00BF44B6">
      <w:pPr>
        <w:rPr>
          <w:lang w:eastAsia="x-none"/>
        </w:rPr>
      </w:pPr>
      <w:r>
        <w:rPr>
          <w:lang w:eastAsia="x-none"/>
        </w:rPr>
        <w:t>Only a s</w:t>
      </w:r>
      <w:r w:rsidRPr="00C40B1B">
        <w:rPr>
          <w:lang w:eastAsia="x-none"/>
        </w:rPr>
        <w:t>ingle port is used for SRS for positioning</w:t>
      </w:r>
      <w:r>
        <w:rPr>
          <w:lang w:eastAsia="x-none"/>
        </w:rPr>
        <w:t xml:space="preserve"> in Rel-16</w:t>
      </w:r>
    </w:p>
    <w:p w:rsidR="00BF44B6" w:rsidRDefault="00BF44B6" w:rsidP="00BF44B6">
      <w:pPr>
        <w:rPr>
          <w:lang w:eastAsia="x-none"/>
        </w:rPr>
      </w:pPr>
    </w:p>
    <w:p w:rsidR="00BF44B6" w:rsidRDefault="00BF44B6" w:rsidP="00BF44B6">
      <w:pPr>
        <w:rPr>
          <w:lang w:eastAsia="x-none"/>
        </w:rPr>
      </w:pPr>
      <w:r w:rsidRPr="008769A4">
        <w:rPr>
          <w:highlight w:val="green"/>
          <w:lang w:eastAsia="x-none"/>
        </w:rPr>
        <w:t>Agreement:</w:t>
      </w:r>
    </w:p>
    <w:p w:rsidR="00BF44B6" w:rsidRDefault="00BF44B6" w:rsidP="00BF44B6">
      <w:pPr>
        <w:rPr>
          <w:lang w:eastAsia="x-none"/>
        </w:rPr>
      </w:pPr>
      <w:r w:rsidRPr="008769A4">
        <w:rPr>
          <w:lang w:eastAsia="x-none"/>
        </w:rPr>
        <w:t xml:space="preserve">The maximum number of SRS resources </w:t>
      </w:r>
      <w:r>
        <w:rPr>
          <w:lang w:eastAsia="x-none"/>
        </w:rPr>
        <w:t xml:space="preserve">per set </w:t>
      </w:r>
      <w:r w:rsidRPr="008769A4">
        <w:rPr>
          <w:lang w:eastAsia="x-none"/>
        </w:rPr>
        <w:t>for positioning is 16</w:t>
      </w:r>
    </w:p>
    <w:p w:rsidR="00BF44B6" w:rsidRDefault="00BF44B6" w:rsidP="00BF44B6">
      <w:pPr>
        <w:rPr>
          <w:lang w:eastAsia="x-none"/>
        </w:rPr>
      </w:pPr>
    </w:p>
    <w:p w:rsidR="00BF44B6" w:rsidRDefault="00BF44B6" w:rsidP="00BF44B6">
      <w:pPr>
        <w:rPr>
          <w:lang w:eastAsia="x-none"/>
        </w:rPr>
      </w:pPr>
      <w:r w:rsidRPr="00BF4D88">
        <w:rPr>
          <w:highlight w:val="green"/>
          <w:lang w:eastAsia="x-none"/>
        </w:rPr>
        <w:t>Agreement:</w:t>
      </w:r>
    </w:p>
    <w:p w:rsidR="00BF44B6" w:rsidRDefault="00BF44B6" w:rsidP="00BF44B6">
      <w:pPr>
        <w:rPr>
          <w:lang w:eastAsia="x-none"/>
        </w:rPr>
      </w:pPr>
      <w:r>
        <w:rPr>
          <w:lang w:eastAsia="x-none"/>
        </w:rPr>
        <w:t>The maximum number of supported SRS resource sets for positioning is a UE capability, with configurability of up to 16 resource sets per BWP.</w:t>
      </w:r>
    </w:p>
    <w:p w:rsidR="00BF44B6" w:rsidRDefault="00BF44B6" w:rsidP="00BF44B6">
      <w:pPr>
        <w:pStyle w:val="ListParagraph"/>
        <w:numPr>
          <w:ilvl w:val="0"/>
          <w:numId w:val="47"/>
        </w:numPr>
        <w:overflowPunct w:val="0"/>
        <w:autoSpaceDE w:val="0"/>
        <w:autoSpaceDN w:val="0"/>
        <w:adjustRightInd w:val="0"/>
        <w:textAlignment w:val="baseline"/>
      </w:pPr>
      <w:r>
        <w:t>Values for the UE capability include {1 ,16}. Other values FFS</w:t>
      </w:r>
    </w:p>
    <w:p w:rsidR="00BF44B6" w:rsidRDefault="00BF44B6" w:rsidP="00BF44B6">
      <w:pPr>
        <w:rPr>
          <w:lang w:eastAsia="x-none"/>
        </w:rPr>
      </w:pPr>
      <w:r w:rsidRPr="004A159C">
        <w:rPr>
          <w:highlight w:val="green"/>
          <w:lang w:eastAsia="x-none"/>
        </w:rPr>
        <w:t>Agreement:</w:t>
      </w:r>
    </w:p>
    <w:p w:rsidR="00BF44B6" w:rsidRDefault="00BF44B6" w:rsidP="00BF44B6">
      <w:pPr>
        <w:rPr>
          <w:lang w:eastAsia="x-none"/>
        </w:rPr>
      </w:pPr>
      <w:r>
        <w:rPr>
          <w:lang w:eastAsia="x-none"/>
        </w:rPr>
        <w:t>The SRS collision rules for Rel-15 are reused for Rel-16 for SRS for positioning</w:t>
      </w:r>
    </w:p>
    <w:p w:rsidR="00BF44B6" w:rsidRDefault="00BF44B6" w:rsidP="00BF44B6">
      <w:pPr>
        <w:rPr>
          <w:lang w:eastAsia="x-none"/>
        </w:rPr>
      </w:pPr>
    </w:p>
    <w:p w:rsidR="00BF44B6" w:rsidRDefault="00BF44B6" w:rsidP="00BF44B6">
      <w:pPr>
        <w:rPr>
          <w:lang w:eastAsia="x-none"/>
        </w:rPr>
      </w:pPr>
      <w:r w:rsidRPr="00E74C32">
        <w:rPr>
          <w:highlight w:val="green"/>
          <w:lang w:eastAsia="x-none"/>
        </w:rPr>
        <w:t>Agreement:</w:t>
      </w:r>
    </w:p>
    <w:p w:rsidR="00BF44B6" w:rsidRDefault="00BF44B6" w:rsidP="00BF44B6">
      <w:pPr>
        <w:rPr>
          <w:lang w:eastAsia="x-none"/>
        </w:rPr>
      </w:pPr>
      <w:r>
        <w:rPr>
          <w:lang w:eastAsia="x-none"/>
        </w:rPr>
        <w:t>If the SRS for positioning collides with PUSCH, the SRS is dropped in the symbols where the collision occurs.</w:t>
      </w:r>
    </w:p>
    <w:p w:rsidR="00BF44B6" w:rsidRDefault="00BF44B6" w:rsidP="00BF44B6">
      <w:pPr>
        <w:pStyle w:val="ListParagraph"/>
        <w:numPr>
          <w:ilvl w:val="0"/>
          <w:numId w:val="47"/>
        </w:numPr>
        <w:overflowPunct w:val="0"/>
        <w:autoSpaceDE w:val="0"/>
        <w:autoSpaceDN w:val="0"/>
        <w:adjustRightInd w:val="0"/>
        <w:textAlignment w:val="baseline"/>
      </w:pPr>
      <w:r>
        <w:t>Note: The phase continuity between transmitted symbols on either side of a transmission gap may not be maintained</w:t>
      </w:r>
    </w:p>
    <w:p w:rsidR="00BF44B6" w:rsidRDefault="00BF44B6" w:rsidP="00BF44B6">
      <w:pPr>
        <w:rPr>
          <w:lang w:eastAsia="x-none"/>
        </w:rPr>
      </w:pPr>
      <w:r w:rsidRPr="0011332E">
        <w:rPr>
          <w:highlight w:val="green"/>
          <w:lang w:eastAsia="x-none"/>
        </w:rPr>
        <w:t>Agreement:</w:t>
      </w:r>
    </w:p>
    <w:p w:rsidR="00BF44B6" w:rsidRDefault="00BF44B6" w:rsidP="00BF44B6">
      <w:pPr>
        <w:rPr>
          <w:lang w:eastAsia="x-none"/>
        </w:rPr>
      </w:pPr>
      <w:r>
        <w:rPr>
          <w:lang w:eastAsia="x-none"/>
        </w:rPr>
        <w:t>T</w:t>
      </w:r>
      <w:r w:rsidRPr="0011332E">
        <w:rPr>
          <w:lang w:eastAsia="x-none"/>
        </w:rPr>
        <w:t xml:space="preserve">he union of periodicities </w:t>
      </w:r>
      <w:r>
        <w:rPr>
          <w:lang w:eastAsia="x-none"/>
        </w:rPr>
        <w:t xml:space="preserve">(and associated slot offsets) </w:t>
      </w:r>
      <w:r w:rsidRPr="0011332E">
        <w:rPr>
          <w:lang w:eastAsia="x-none"/>
        </w:rPr>
        <w:t xml:space="preserve">supported for NR SRS Rel-15 and the NR </w:t>
      </w:r>
      <w:r>
        <w:rPr>
          <w:lang w:eastAsia="x-none"/>
        </w:rPr>
        <w:t>DL-</w:t>
      </w:r>
      <w:r w:rsidRPr="0011332E">
        <w:rPr>
          <w:lang w:eastAsia="x-none"/>
        </w:rPr>
        <w:t>PRS Rel-16</w:t>
      </w:r>
      <w:r>
        <w:rPr>
          <w:lang w:eastAsia="x-none"/>
        </w:rPr>
        <w:t xml:space="preserve"> is supported for SRS for positioning in Rel-16.</w:t>
      </w:r>
    </w:p>
    <w:p w:rsidR="00BF44B6" w:rsidRDefault="00BF44B6" w:rsidP="00BF44B6">
      <w:pPr>
        <w:rPr>
          <w:lang w:eastAsia="x-none"/>
        </w:rPr>
      </w:pPr>
    </w:p>
    <w:p w:rsidR="00BF44B6" w:rsidRDefault="00BF44B6" w:rsidP="00BF44B6">
      <w:pPr>
        <w:rPr>
          <w:lang w:eastAsia="x-none"/>
        </w:rPr>
      </w:pPr>
      <w:r w:rsidRPr="007F72BC">
        <w:rPr>
          <w:highlight w:val="green"/>
          <w:lang w:eastAsia="x-none"/>
        </w:rPr>
        <w:lastRenderedPageBreak/>
        <w:t>Agreement:</w:t>
      </w:r>
    </w:p>
    <w:p w:rsidR="00BF44B6" w:rsidRDefault="00BF44B6" w:rsidP="00BF44B6">
      <w:pPr>
        <w:rPr>
          <w:lang w:eastAsia="x-none"/>
        </w:rPr>
      </w:pPr>
      <w:r>
        <w:rPr>
          <w:lang w:eastAsia="x-none"/>
        </w:rPr>
        <w:t>RAN1 assumes that a new IE is configured for SRS for positioning in RRC signalling.</w:t>
      </w:r>
    </w:p>
    <w:p w:rsidR="00BF44B6" w:rsidRDefault="00BF44B6" w:rsidP="00BF44B6">
      <w:pPr>
        <w:rPr>
          <w:lang w:eastAsia="x-none"/>
        </w:rPr>
      </w:pPr>
    </w:p>
    <w:p w:rsidR="00BF44B6" w:rsidRDefault="00BF44B6" w:rsidP="00BF44B6">
      <w:pPr>
        <w:rPr>
          <w:lang w:eastAsia="x-none"/>
        </w:rPr>
      </w:pPr>
      <w:r w:rsidRPr="007F72BC">
        <w:rPr>
          <w:highlight w:val="green"/>
          <w:lang w:eastAsia="x-none"/>
        </w:rPr>
        <w:t>Agreement:</w:t>
      </w:r>
    </w:p>
    <w:p w:rsidR="00BF44B6" w:rsidRDefault="00BF44B6" w:rsidP="00BF44B6">
      <w:pPr>
        <w:rPr>
          <w:lang w:eastAsia="x-none"/>
        </w:rPr>
      </w:pPr>
      <w:r>
        <w:rPr>
          <w:lang w:eastAsia="x-none"/>
        </w:rPr>
        <w:t xml:space="preserve">Configuration of </w:t>
      </w:r>
      <w:r w:rsidRPr="007F72BC">
        <w:rPr>
          <w:lang w:eastAsia="x-none"/>
        </w:rPr>
        <w:t>SRS for positioning is per UL BWP</w:t>
      </w:r>
    </w:p>
    <w:p w:rsidR="00BF44B6" w:rsidRDefault="00BF44B6" w:rsidP="00BF44B6">
      <w:pPr>
        <w:rPr>
          <w:lang w:eastAsia="x-none"/>
        </w:rPr>
      </w:pPr>
    </w:p>
    <w:p w:rsidR="00BF44B6" w:rsidRDefault="00BF44B6" w:rsidP="00BF44B6">
      <w:pPr>
        <w:rPr>
          <w:lang w:eastAsia="x-none"/>
        </w:rPr>
      </w:pPr>
      <w:r w:rsidRPr="00AE04BB">
        <w:rPr>
          <w:highlight w:val="green"/>
          <w:lang w:eastAsia="x-none"/>
        </w:rPr>
        <w:t>Agreement:</w:t>
      </w:r>
    </w:p>
    <w:p w:rsidR="00BF44B6" w:rsidRDefault="00BF44B6" w:rsidP="00BF44B6">
      <w:pPr>
        <w:rPr>
          <w:lang w:eastAsia="x-none"/>
        </w:rPr>
      </w:pPr>
      <w:r w:rsidRPr="00551BE9">
        <w:rPr>
          <w:lang w:eastAsia="x-none"/>
        </w:rPr>
        <w:t xml:space="preserve">Support reuse of Rel-15 SRS </w:t>
      </w:r>
      <w:r>
        <w:rPr>
          <w:lang w:eastAsia="x-none"/>
        </w:rPr>
        <w:t xml:space="preserve">resource set </w:t>
      </w:r>
      <w:r w:rsidRPr="00551BE9">
        <w:rPr>
          <w:lang w:eastAsia="x-none"/>
        </w:rPr>
        <w:t xml:space="preserve">for NR </w:t>
      </w:r>
      <w:r>
        <w:rPr>
          <w:lang w:eastAsia="x-none"/>
        </w:rPr>
        <w:t>UL RTOA, AoA and gNB RSRP measurements for positioning in NR.</w:t>
      </w:r>
    </w:p>
    <w:p w:rsidR="00BF44B6" w:rsidRDefault="00BF44B6" w:rsidP="00BF44B6">
      <w:pPr>
        <w:widowControl/>
        <w:numPr>
          <w:ilvl w:val="0"/>
          <w:numId w:val="46"/>
        </w:numPr>
        <w:wordWrap/>
        <w:autoSpaceDE/>
        <w:autoSpaceDN/>
        <w:rPr>
          <w:lang w:eastAsia="x-none"/>
        </w:rPr>
      </w:pPr>
      <w:r>
        <w:rPr>
          <w:lang w:eastAsia="x-none"/>
        </w:rPr>
        <w:t>Note: There is no impact to specifications managed by RAN1</w:t>
      </w:r>
    </w:p>
    <w:p w:rsidR="00BF44B6" w:rsidRDefault="00BF44B6" w:rsidP="00BF44B6">
      <w:pPr>
        <w:widowControl/>
        <w:numPr>
          <w:ilvl w:val="0"/>
          <w:numId w:val="46"/>
        </w:numPr>
        <w:wordWrap/>
        <w:autoSpaceDE/>
        <w:autoSpaceDN/>
        <w:rPr>
          <w:lang w:eastAsia="x-none"/>
        </w:rPr>
      </w:pPr>
      <w:r>
        <w:rPr>
          <w:lang w:eastAsia="x-none"/>
        </w:rPr>
        <w:t>Note: There is no impact to specifications managed by RAN4 for UE requirements</w:t>
      </w:r>
    </w:p>
    <w:p w:rsidR="00BF44B6" w:rsidRDefault="00BF44B6" w:rsidP="00BF44B6">
      <w:pPr>
        <w:widowControl/>
        <w:numPr>
          <w:ilvl w:val="0"/>
          <w:numId w:val="46"/>
        </w:numPr>
        <w:wordWrap/>
        <w:autoSpaceDE/>
        <w:autoSpaceDN/>
        <w:rPr>
          <w:lang w:eastAsia="x-none"/>
        </w:rPr>
      </w:pPr>
      <w:r>
        <w:rPr>
          <w:lang w:eastAsia="x-none"/>
        </w:rPr>
        <w:t>Note: No new UE behaviour is expected</w:t>
      </w:r>
    </w:p>
    <w:p w:rsidR="008005D2" w:rsidRPr="006536D4" w:rsidRDefault="008005D2" w:rsidP="00BF44B6">
      <w:pPr>
        <w:overflowPunct w:val="0"/>
        <w:adjustRightInd w:val="0"/>
        <w:textAlignment w:val="baseline"/>
      </w:pP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NR </w:t>
      </w:r>
      <w:r w:rsidR="00BF44B6">
        <w:rPr>
          <w:lang w:val="en-GB"/>
        </w:rPr>
        <w:t>U</w:t>
      </w:r>
      <w:r>
        <w:rPr>
          <w:lang w:val="en-GB"/>
        </w:rPr>
        <w:t>L positioning.</w:t>
      </w:r>
    </w:p>
    <w:p w:rsidR="008005D2" w:rsidRDefault="008005D2" w:rsidP="008005D2">
      <w:pPr>
        <w:pStyle w:val="Heading1"/>
      </w:pPr>
      <w:r>
        <w:t xml:space="preserve">NR </w:t>
      </w:r>
      <w:r w:rsidR="00BF44B6">
        <w:t>U</w:t>
      </w:r>
      <w:r>
        <w:t>L PRS design</w:t>
      </w:r>
    </w:p>
    <w:p w:rsidR="00D52E89" w:rsidRDefault="00D52E89" w:rsidP="00D52E89">
      <w:pPr>
        <w:rPr>
          <w:lang w:val="en-GB" w:eastAsia="en-US"/>
        </w:rPr>
      </w:pPr>
    </w:p>
    <w:p w:rsidR="00085A9B" w:rsidRDefault="00463E93" w:rsidP="00085A9B">
      <w:pPr>
        <w:spacing w:after="240"/>
        <w:ind w:firstLine="284"/>
      </w:pPr>
      <w:r>
        <w:rPr>
          <w:lang w:val="en-GB" w:eastAsia="en-US"/>
        </w:rPr>
        <w:t>It has been agreed that t</w:t>
      </w:r>
      <w:r w:rsidR="00D52E89">
        <w:rPr>
          <w:lang w:eastAsia="x-none"/>
        </w:rPr>
        <w:t>he maximum number of supported SRS resource sets for positioning is a UE capability, with configurability of up to 16 resource sets per BWP</w:t>
      </w:r>
      <w:r>
        <w:rPr>
          <w:lang w:eastAsia="x-none"/>
        </w:rPr>
        <w:t xml:space="preserve"> and the v</w:t>
      </w:r>
      <w:r w:rsidR="00D52E89">
        <w:t xml:space="preserve">alues for the UE capability include {1 ,16}. </w:t>
      </w:r>
      <w:r w:rsidR="00085A9B">
        <w:t>Since the number of resources within one resource set can be adjusted, the current values should be enough to support beam sweeping in a variety of cases. Therefore, there is no need to support additional values.</w:t>
      </w:r>
    </w:p>
    <w:p w:rsidR="00D52E89" w:rsidRPr="00085A9B" w:rsidRDefault="00085A9B" w:rsidP="00085A9B">
      <w:pPr>
        <w:spacing w:after="240"/>
        <w:rPr>
          <w:i/>
        </w:rPr>
      </w:pPr>
      <w:r w:rsidRPr="00085A9B">
        <w:rPr>
          <w:b/>
          <w:i/>
        </w:rPr>
        <w:t>Proposa1 1</w:t>
      </w:r>
      <w:r w:rsidRPr="00085A9B">
        <w:rPr>
          <w:i/>
        </w:rPr>
        <w:t xml:space="preserve">: </w:t>
      </w:r>
      <w:r w:rsidR="00463E93" w:rsidRPr="00085A9B">
        <w:rPr>
          <w:i/>
        </w:rPr>
        <w:t xml:space="preserve"> </w:t>
      </w:r>
      <w:r w:rsidRPr="00085A9B">
        <w:rPr>
          <w:i/>
        </w:rPr>
        <w:t>The values for the maximum number of supported SRS resource sets for positioning include {1, 16} only.</w:t>
      </w:r>
    </w:p>
    <w:p w:rsidR="00463E93" w:rsidRDefault="00463E93" w:rsidP="00463E93">
      <w:pPr>
        <w:wordWrap/>
        <w:spacing w:before="60" w:after="60" w:line="288" w:lineRule="auto"/>
        <w:ind w:firstLine="284"/>
        <w:jc w:val="both"/>
      </w:pPr>
      <w:r>
        <w:t>Another issue is the fallback scheme for power control when pathloss information is not available. It has been agreed that i</w:t>
      </w:r>
      <w:r w:rsidRPr="00F00BDF">
        <w:t>f the UE is provided a pathloss reference from the serving or a neighbouring cell in the SRS for positioning configuration, but is not able to successfully measure the pathloss for the pathloss reference provided, a RS resource obtained from the SSB that the UE uses to obtain MIB as the pathloss reference signal</w:t>
      </w:r>
      <w:r>
        <w:t xml:space="preserve"> should be used</w:t>
      </w:r>
      <w:r w:rsidRPr="00F00BDF">
        <w:t>.</w:t>
      </w:r>
      <w:r>
        <w:t xml:space="preserve"> However, it should be clarified if this MIB is from the serving cell or any cell that a UE can obtain MIB information. If it is the latter case, there is possibility that a UE cannot obtain the MIB information, especially from the neighboring cells far away from the UE but still can hear the UE so that a UE should send SRS for positioning purpose. Only the MIB from the serving cell is guaranteed to be obtained. In this regard, the MIB referred here should be the serving cell MIB.</w:t>
      </w:r>
    </w:p>
    <w:p w:rsidR="00463E93" w:rsidRDefault="00463E93" w:rsidP="00463E93">
      <w:pPr>
        <w:wordWrap/>
        <w:spacing w:before="60" w:after="60" w:line="288" w:lineRule="auto"/>
        <w:jc w:val="both"/>
        <w:rPr>
          <w:i/>
        </w:rPr>
      </w:pPr>
      <w:r w:rsidRPr="00FA46FA">
        <w:rPr>
          <w:b/>
          <w:i/>
        </w:rPr>
        <w:t>Proposal 2</w:t>
      </w:r>
      <w:r w:rsidRPr="00FA46FA">
        <w:rPr>
          <w:i/>
        </w:rPr>
        <w:t>: It should be clarified that if the UE is provided a pathloss reference from the serving or a neighbouring cell in the SRS for positioning configuration, but is not able to successfully measure the pathloss for the pathloss reference provided, a RS resource obtained from the SSB of the serving cell that the UE uses to obtain MIB as the pathloss reference signal should be used</w:t>
      </w:r>
    </w:p>
    <w:p w:rsidR="00D52E89" w:rsidRPr="00463E93" w:rsidRDefault="00D52E89" w:rsidP="00D52E89">
      <w:pPr>
        <w:rPr>
          <w:lang w:eastAsia="en-US"/>
        </w:rPr>
      </w:pP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094092">
        <w:rPr>
          <w:rFonts w:eastAsia="Malgun Gothic"/>
          <w:color w:val="000000"/>
        </w:rPr>
        <w:t>U</w:t>
      </w:r>
      <w:r w:rsidRPr="00954A88">
        <w:rPr>
          <w:rFonts w:eastAsia="Malgun Gothic"/>
          <w:color w:val="000000"/>
        </w:rPr>
        <w:t>L reference signals design for NR positioning</w:t>
      </w:r>
      <w:r>
        <w:rPr>
          <w:rFonts w:eastAsia="Malgun Gothic"/>
          <w:color w:val="000000"/>
        </w:rPr>
        <w:t>. Our proposals are summarized below.</w:t>
      </w:r>
    </w:p>
    <w:p w:rsidR="00085A9B" w:rsidRPr="00085A9B" w:rsidRDefault="00085A9B" w:rsidP="00085A9B">
      <w:pPr>
        <w:spacing w:after="240"/>
        <w:rPr>
          <w:i/>
        </w:rPr>
      </w:pPr>
      <w:r w:rsidRPr="00085A9B">
        <w:rPr>
          <w:b/>
          <w:i/>
        </w:rPr>
        <w:t>Proposa1 1</w:t>
      </w:r>
      <w:r w:rsidRPr="00085A9B">
        <w:rPr>
          <w:i/>
        </w:rPr>
        <w:t>:  The values for the maximum number of supported SRS resource sets for positioning include {1, 16} only.</w:t>
      </w:r>
    </w:p>
    <w:p w:rsidR="00085A9B" w:rsidRDefault="00085A9B" w:rsidP="00085A9B">
      <w:pPr>
        <w:wordWrap/>
        <w:spacing w:before="60" w:after="60" w:line="288" w:lineRule="auto"/>
        <w:jc w:val="both"/>
        <w:rPr>
          <w:i/>
        </w:rPr>
      </w:pPr>
      <w:r w:rsidRPr="00FA46FA">
        <w:rPr>
          <w:b/>
          <w:i/>
        </w:rPr>
        <w:t>Proposal 2</w:t>
      </w:r>
      <w:r w:rsidRPr="00FA46FA">
        <w:rPr>
          <w:i/>
        </w:rPr>
        <w:t>: It should be clarified that if the UE is provided a pathloss reference from the serving or a neighbouring cell in the SRS for positioning configuration, but is not able to successfully measure the pathloss for the pathloss reference provided, a RS resource obtained from the SSB of the serving cell that the UE uses to obtain MIB as the pathloss reference signal should be used</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RAN1#9</w:t>
      </w:r>
      <w:r>
        <w:rPr>
          <w:bCs/>
          <w:lang w:eastAsia="ja-JP"/>
        </w:rPr>
        <w:t>9</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105" w:rsidRPr="00C47AD2" w:rsidRDefault="00F05105">
      <w:pPr>
        <w:rPr>
          <w:rFonts w:ascii="Arial" w:hAnsi="Arial"/>
          <w:sz w:val="12"/>
        </w:rPr>
      </w:pPr>
      <w:r>
        <w:separator/>
      </w:r>
    </w:p>
  </w:endnote>
  <w:endnote w:type="continuationSeparator" w:id="0">
    <w:p w:rsidR="00F05105" w:rsidRPr="00C47AD2" w:rsidRDefault="00F0510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7818FE">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105" w:rsidRPr="00C47AD2" w:rsidRDefault="00F05105">
      <w:pPr>
        <w:rPr>
          <w:rFonts w:ascii="Arial" w:hAnsi="Arial"/>
          <w:sz w:val="12"/>
        </w:rPr>
      </w:pPr>
      <w:r>
        <w:separator/>
      </w:r>
    </w:p>
  </w:footnote>
  <w:footnote w:type="continuationSeparator" w:id="0">
    <w:p w:rsidR="00F05105" w:rsidRPr="00C47AD2" w:rsidRDefault="00F05105">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A028C"/>
    <w:multiLevelType w:val="hybridMultilevel"/>
    <w:tmpl w:val="C3E0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7183AB1"/>
    <w:multiLevelType w:val="hybridMultilevel"/>
    <w:tmpl w:val="CF66F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064169"/>
    <w:multiLevelType w:val="hybridMultilevel"/>
    <w:tmpl w:val="5A4CB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F802F7"/>
    <w:multiLevelType w:val="hybridMultilevel"/>
    <w:tmpl w:val="E212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3A04F7"/>
    <w:multiLevelType w:val="hybridMultilevel"/>
    <w:tmpl w:val="D59E8DDE"/>
    <w:lvl w:ilvl="0" w:tplc="08090001">
      <w:start w:val="1"/>
      <w:numFmt w:val="bullet"/>
      <w:lvlText w:val=""/>
      <w:lvlJc w:val="left"/>
      <w:pPr>
        <w:ind w:left="1004" w:hanging="360"/>
      </w:pPr>
      <w:rPr>
        <w:rFonts w:ascii="Symbol" w:hAnsi="Symbol" w:hint="default"/>
      </w:rPr>
    </w:lvl>
    <w:lvl w:ilvl="1" w:tplc="1BACF7F8">
      <w:numFmt w:val="bullet"/>
      <w:lvlText w:val="●"/>
      <w:lvlJc w:val="left"/>
      <w:pPr>
        <w:ind w:left="1724" w:hanging="360"/>
      </w:pPr>
      <w:rPr>
        <w:rFonts w:ascii="MS Mincho" w:eastAsia="MS Mincho" w:hAnsi="Times New Roman" w:cs="Times New Roman" w:hint="eastAsia"/>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41A72"/>
    <w:multiLevelType w:val="hybridMultilevel"/>
    <w:tmpl w:val="1A0204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7474B"/>
    <w:multiLevelType w:val="hybridMultilevel"/>
    <w:tmpl w:val="9378F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5"/>
  </w:num>
  <w:num w:numId="6">
    <w:abstractNumId w:val="46"/>
  </w:num>
  <w:num w:numId="7">
    <w:abstractNumId w:val="27"/>
  </w:num>
  <w:num w:numId="8">
    <w:abstractNumId w:val="23"/>
  </w:num>
  <w:num w:numId="9">
    <w:abstractNumId w:val="44"/>
  </w:num>
  <w:num w:numId="10">
    <w:abstractNumId w:val="4"/>
  </w:num>
  <w:num w:numId="11">
    <w:abstractNumId w:val="10"/>
  </w:num>
  <w:num w:numId="12">
    <w:abstractNumId w:val="45"/>
  </w:num>
  <w:num w:numId="13">
    <w:abstractNumId w:val="3"/>
  </w:num>
  <w:num w:numId="14">
    <w:abstractNumId w:val="20"/>
  </w:num>
  <w:num w:numId="15">
    <w:abstractNumId w:val="8"/>
  </w:num>
  <w:num w:numId="16">
    <w:abstractNumId w:val="35"/>
  </w:num>
  <w:num w:numId="17">
    <w:abstractNumId w:val="5"/>
  </w:num>
  <w:num w:numId="18">
    <w:abstractNumId w:val="28"/>
  </w:num>
  <w:num w:numId="19">
    <w:abstractNumId w:val="42"/>
  </w:num>
  <w:num w:numId="20">
    <w:abstractNumId w:val="12"/>
  </w:num>
  <w:num w:numId="21">
    <w:abstractNumId w:val="31"/>
  </w:num>
  <w:num w:numId="22">
    <w:abstractNumId w:val="7"/>
  </w:num>
  <w:num w:numId="23">
    <w:abstractNumId w:val="24"/>
  </w:num>
  <w:num w:numId="24">
    <w:abstractNumId w:val="33"/>
  </w:num>
  <w:num w:numId="25">
    <w:abstractNumId w:val="11"/>
  </w:num>
  <w:num w:numId="26">
    <w:abstractNumId w:val="19"/>
  </w:num>
  <w:num w:numId="27">
    <w:abstractNumId w:val="13"/>
  </w:num>
  <w:num w:numId="28">
    <w:abstractNumId w:val="36"/>
  </w:num>
  <w:num w:numId="29">
    <w:abstractNumId w:val="39"/>
  </w:num>
  <w:num w:numId="30">
    <w:abstractNumId w:val="21"/>
  </w:num>
  <w:num w:numId="31">
    <w:abstractNumId w:val="38"/>
  </w:num>
  <w:num w:numId="32">
    <w:abstractNumId w:val="26"/>
  </w:num>
  <w:num w:numId="33">
    <w:abstractNumId w:val="14"/>
  </w:num>
  <w:num w:numId="34">
    <w:abstractNumId w:val="41"/>
  </w:num>
  <w:num w:numId="35">
    <w:abstractNumId w:val="30"/>
  </w:num>
  <w:num w:numId="36">
    <w:abstractNumId w:val="29"/>
  </w:num>
  <w:num w:numId="37">
    <w:abstractNumId w:val="17"/>
  </w:num>
  <w:num w:numId="38">
    <w:abstractNumId w:val="6"/>
  </w:num>
  <w:num w:numId="39">
    <w:abstractNumId w:val="34"/>
  </w:num>
  <w:num w:numId="40">
    <w:abstractNumId w:val="15"/>
  </w:num>
  <w:num w:numId="41">
    <w:abstractNumId w:val="2"/>
  </w:num>
  <w:num w:numId="42">
    <w:abstractNumId w:val="9"/>
  </w:num>
  <w:num w:numId="43">
    <w:abstractNumId w:val="40"/>
  </w:num>
  <w:num w:numId="44">
    <w:abstractNumId w:val="32"/>
  </w:num>
  <w:num w:numId="45">
    <w:abstractNumId w:val="37"/>
  </w:num>
  <w:num w:numId="46">
    <w:abstractNumId w:val="1"/>
  </w:num>
  <w:num w:numId="47">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A9B"/>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92"/>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5F3"/>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3E93"/>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613"/>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679"/>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8FE"/>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DD1"/>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E89"/>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05"/>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34C5D-3E7A-49CC-A03A-9252CB39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2020-02-13T16:53:00Z</dcterms:created>
  <dcterms:modified xsi:type="dcterms:W3CDTF">2020-02-14T09:30:00Z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